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4B83" w14:textId="5C2CD762" w:rsidR="00B6133B" w:rsidRDefault="00B6133B" w:rsidP="00B6133B">
      <w:pPr>
        <w:pStyle w:val="Standarduser"/>
        <w:rPr>
          <w:rFonts w:ascii="Calibri" w:hAnsi="Calibri" w:cs="Calibri"/>
          <w:b/>
          <w:bCs/>
          <w:sz w:val="22"/>
          <w:szCs w:val="22"/>
        </w:rPr>
      </w:pPr>
      <w:r>
        <w:rPr>
          <w:rFonts w:ascii="Calibri" w:hAnsi="Calibri" w:cs="Calibri"/>
          <w:b/>
          <w:sz w:val="22"/>
          <w:szCs w:val="22"/>
        </w:rPr>
        <w:t>Muudatusettepanekud s</w:t>
      </w:r>
      <w:r w:rsidRPr="003F4F90">
        <w:rPr>
          <w:rFonts w:ascii="Calibri" w:hAnsi="Calibri" w:cs="Calibri"/>
          <w:b/>
          <w:sz w:val="22"/>
          <w:szCs w:val="22"/>
        </w:rPr>
        <w:t>eletuskir</w:t>
      </w:r>
      <w:r>
        <w:rPr>
          <w:rFonts w:ascii="Calibri" w:hAnsi="Calibri" w:cs="Calibri"/>
          <w:b/>
          <w:sz w:val="22"/>
          <w:szCs w:val="22"/>
        </w:rPr>
        <w:t>jale</w:t>
      </w:r>
      <w:r w:rsidRPr="003F4F90">
        <w:rPr>
          <w:rFonts w:ascii="Calibri" w:hAnsi="Calibri" w:cs="Calibri"/>
          <w:b/>
          <w:sz w:val="22"/>
          <w:szCs w:val="22"/>
        </w:rPr>
        <w:t xml:space="preserve"> Põltsamaa valla otsuse eelnõule“ </w:t>
      </w:r>
      <w:r w:rsidRPr="003F4F90">
        <w:rPr>
          <w:rFonts w:ascii="Calibri" w:hAnsi="Calibri" w:cs="Calibri"/>
          <w:b/>
          <w:bCs/>
          <w:sz w:val="22"/>
          <w:szCs w:val="22"/>
        </w:rPr>
        <w:t>Kõikide Põltsamaa valda planeeritud  tuulepargialade eriplaneeringu koostamise lõpetamine“</w:t>
      </w:r>
    </w:p>
    <w:p w14:paraId="583831F5" w14:textId="77777777" w:rsidR="00B6133B" w:rsidRDefault="00B6133B" w:rsidP="00B6133B">
      <w:pPr>
        <w:pStyle w:val="Standarduser"/>
        <w:rPr>
          <w:rFonts w:ascii="Calibri" w:hAnsi="Calibri" w:cs="Calibri"/>
          <w:b/>
          <w:bCs/>
          <w:sz w:val="22"/>
          <w:szCs w:val="22"/>
        </w:rPr>
      </w:pPr>
    </w:p>
    <w:p w14:paraId="29AB78AE" w14:textId="71EDDD84" w:rsidR="00B6133B" w:rsidRDefault="00B6133B" w:rsidP="00B6133B">
      <w:pPr>
        <w:pStyle w:val="Standarduser"/>
        <w:rPr>
          <w:rFonts w:ascii="Calibri" w:hAnsi="Calibri" w:cs="Calibri"/>
          <w:sz w:val="22"/>
          <w:szCs w:val="22"/>
        </w:rPr>
      </w:pPr>
      <w:r>
        <w:rPr>
          <w:rFonts w:ascii="Calibri" w:hAnsi="Calibri" w:cs="Calibri"/>
          <w:sz w:val="22"/>
          <w:szCs w:val="22"/>
        </w:rPr>
        <w:t xml:space="preserve">        </w:t>
      </w:r>
      <w:r w:rsidRPr="00B6133B">
        <w:rPr>
          <w:rFonts w:ascii="Calibri" w:hAnsi="Calibri" w:cs="Calibri"/>
          <w:sz w:val="22"/>
          <w:szCs w:val="22"/>
        </w:rPr>
        <w:t>Lisada seletuskirja lõppu alljärgnev selgitav tekst:</w:t>
      </w:r>
    </w:p>
    <w:p w14:paraId="45BF66E7" w14:textId="3FB79D0E" w:rsidR="00B6133B" w:rsidRDefault="00B6133B" w:rsidP="00B6133B">
      <w:pPr>
        <w:pStyle w:val="Standarduser"/>
        <w:rPr>
          <w:rFonts w:ascii="Calibri" w:hAnsi="Calibri" w:cs="Calibri"/>
          <w:sz w:val="22"/>
          <w:szCs w:val="22"/>
        </w:rPr>
      </w:pPr>
      <w:r>
        <w:rPr>
          <w:rFonts w:ascii="Calibri" w:hAnsi="Calibri" w:cs="Calibri"/>
          <w:sz w:val="22"/>
          <w:szCs w:val="22"/>
        </w:rPr>
        <w:t xml:space="preserve">    </w:t>
      </w:r>
    </w:p>
    <w:p w14:paraId="34DBC5B4" w14:textId="77777777" w:rsidR="00B6133B" w:rsidRPr="00904C24" w:rsidRDefault="00B6133B" w:rsidP="00B6133B">
      <w:pPr>
        <w:rPr>
          <w:b/>
          <w:bCs/>
        </w:rPr>
      </w:pPr>
      <w:r>
        <w:t xml:space="preserve">        </w:t>
      </w:r>
      <w:r w:rsidRPr="000C23FD">
        <w:t xml:space="preserve">             </w:t>
      </w:r>
      <w:r w:rsidRPr="00904C24">
        <w:rPr>
          <w:b/>
          <w:bCs/>
        </w:rPr>
        <w:t xml:space="preserve">Jõgeva maakonnaplaneeringu 2030+ peatükis 4.3.3. "Taastuvenergia" on taastuvenergia arendamise </w:t>
      </w:r>
    </w:p>
    <w:p w14:paraId="6E3C4F66" w14:textId="77777777" w:rsidR="00B6133B" w:rsidRPr="00904C24" w:rsidRDefault="00B6133B" w:rsidP="00B6133B">
      <w:pPr>
        <w:rPr>
          <w:b/>
          <w:bCs/>
        </w:rPr>
      </w:pPr>
      <w:r w:rsidRPr="00904C24">
        <w:rPr>
          <w:b/>
          <w:bCs/>
        </w:rPr>
        <w:t xml:space="preserve">             põhimõtete all öeldud, et vältida tuleb tuuleenergeetika arendamist aktiivses metsamajanduslikus kasutuses </w:t>
      </w:r>
    </w:p>
    <w:p w14:paraId="1ABEE110" w14:textId="77777777" w:rsidR="00B6133B" w:rsidRPr="00904C24" w:rsidRDefault="00B6133B" w:rsidP="00B6133B">
      <w:pPr>
        <w:rPr>
          <w:b/>
          <w:bCs/>
        </w:rPr>
      </w:pPr>
      <w:r w:rsidRPr="00904C24">
        <w:rPr>
          <w:b/>
          <w:bCs/>
        </w:rPr>
        <w:t xml:space="preserve">              olevatel    aladel, kuna põline metsamaa peaks jääma metsa kasvatamiseks ja väärtuslike põllumaade aladele.</w:t>
      </w:r>
    </w:p>
    <w:p w14:paraId="27CCD098" w14:textId="77777777" w:rsidR="00B6133B" w:rsidRPr="00904C24" w:rsidRDefault="00B6133B" w:rsidP="00B6133B">
      <w:pPr>
        <w:rPr>
          <w:b/>
          <w:bCs/>
        </w:rPr>
      </w:pPr>
      <w:r w:rsidRPr="00904C24">
        <w:rPr>
          <w:b/>
          <w:bCs/>
        </w:rPr>
        <w:t xml:space="preserve">              Jõgeva maakonnaplaneeringu 2030+ peatükis 3.1.7. „Roheline võrgustik“ on rohelise võrgustiku toimimist</w:t>
      </w:r>
    </w:p>
    <w:p w14:paraId="776B3061" w14:textId="77777777" w:rsidR="00B6133B" w:rsidRPr="00904C24" w:rsidRDefault="00B6133B" w:rsidP="00B6133B">
      <w:pPr>
        <w:rPr>
          <w:b/>
          <w:bCs/>
        </w:rPr>
      </w:pPr>
      <w:r w:rsidRPr="00904C24">
        <w:rPr>
          <w:b/>
          <w:bCs/>
        </w:rPr>
        <w:t xml:space="preserve">              tagavate tingimuste seas toodud, et tuumalale ei rajata tööstus- ja tootmisehitisi.</w:t>
      </w:r>
    </w:p>
    <w:p w14:paraId="662BFF48" w14:textId="77777777" w:rsidR="00B6133B" w:rsidRPr="00904C24" w:rsidRDefault="00B6133B" w:rsidP="00B6133B">
      <w:pPr>
        <w:rPr>
          <w:b/>
          <w:bCs/>
          <w:spacing w:val="-2"/>
        </w:rPr>
      </w:pPr>
    </w:p>
    <w:p w14:paraId="40ED6BB6" w14:textId="77777777" w:rsidR="00B6133B" w:rsidRPr="00904C24" w:rsidRDefault="00B6133B" w:rsidP="00B6133B">
      <w:pPr>
        <w:pStyle w:val="Kehatekst"/>
        <w:spacing w:before="160" w:line="259" w:lineRule="auto"/>
        <w:ind w:left="730" w:right="348"/>
        <w:rPr>
          <w:b/>
          <w:bCs/>
        </w:rPr>
      </w:pPr>
      <w:r w:rsidRPr="00904C24">
        <w:rPr>
          <w:b/>
          <w:bCs/>
        </w:rPr>
        <w:t>Üldplaneering võimaldab olulise ruumilise mõjuga tuulepargi alasid vajaduse korral kavandada. Üldplaneeringu seletuskirjas viidatud mõiste „vajaduse“ korral on määratlemata õigusmõiste, mistõttu on vallavolikogu sisustada, milles seisneb konkreetselt Põltsamaa valla vajadus olulise ruumilise mõjuga tuulepargi arendamise vastu.</w:t>
      </w:r>
    </w:p>
    <w:p w14:paraId="6F49F6F0" w14:textId="77777777" w:rsidR="00B6133B" w:rsidRPr="00904C24" w:rsidRDefault="00B6133B" w:rsidP="00B6133B">
      <w:pPr>
        <w:pStyle w:val="Kehatekst"/>
        <w:spacing w:before="160" w:line="259" w:lineRule="auto"/>
        <w:ind w:left="730" w:right="348"/>
        <w:rPr>
          <w:b/>
          <w:bCs/>
        </w:rPr>
      </w:pPr>
      <w:r w:rsidRPr="00904C24">
        <w:rPr>
          <w:b/>
          <w:bCs/>
        </w:rPr>
        <w:t xml:space="preserve"> </w:t>
      </w:r>
      <w:proofErr w:type="spellStart"/>
      <w:r w:rsidRPr="00904C24">
        <w:rPr>
          <w:b/>
          <w:bCs/>
        </w:rPr>
        <w:t>PlanS</w:t>
      </w:r>
      <w:proofErr w:type="spellEnd"/>
      <w:r w:rsidRPr="00904C24">
        <w:rPr>
          <w:b/>
          <w:bCs/>
        </w:rPr>
        <w:t xml:space="preserve"> § 74 lg 1 tõlgendamise kohaselt määratleb valla üldplaneering valla ruumilise arengu põhimõtted ja määratleb suundumised, mistõttu on põhjendatud tõlgendada üldplaneeringus kajastatud mõistet „vajadusel“ kui valla vajadust, mis on kooskõlas ruumilise planeerimise põhimõtetega. </w:t>
      </w:r>
    </w:p>
    <w:p w14:paraId="03933C85" w14:textId="77777777" w:rsidR="00B6133B" w:rsidRPr="00904C24" w:rsidRDefault="00B6133B" w:rsidP="00B6133B">
      <w:pPr>
        <w:pStyle w:val="Kehatekst"/>
        <w:spacing w:before="160" w:line="259" w:lineRule="auto"/>
        <w:ind w:left="730" w:right="348"/>
        <w:rPr>
          <w:b/>
          <w:bCs/>
        </w:rPr>
      </w:pPr>
      <w:r w:rsidRPr="00904C24">
        <w:rPr>
          <w:b/>
          <w:bCs/>
        </w:rPr>
        <w:t xml:space="preserve">Kohtupraktikas (hetkel veel jõustumata Tallinna Halduskohtu lahend) näiteks on tunnustatud, et selliseks vajaduseks ei saa pidada iga arendaja huvi tuule abil energiat toota või tuuleenergia kaudu kasumit teenida. </w:t>
      </w:r>
    </w:p>
    <w:p w14:paraId="42855A03" w14:textId="77777777" w:rsidR="00B6133B" w:rsidRPr="00904C24" w:rsidRDefault="00B6133B" w:rsidP="00B6133B">
      <w:pPr>
        <w:pStyle w:val="Kehatekst"/>
        <w:spacing w:before="160" w:line="259" w:lineRule="auto"/>
        <w:ind w:left="730" w:right="348"/>
        <w:rPr>
          <w:b/>
          <w:bCs/>
        </w:rPr>
      </w:pPr>
      <w:r w:rsidRPr="00904C24">
        <w:rPr>
          <w:b/>
          <w:bCs/>
        </w:rPr>
        <w:t>Seega Põltsamaa vallavolikogu poolt kehtestatud valla üldplaneering ei käsitle olulise ruumilise mõjuga tuulikute ega tuuleparkide rajamist valla territooriumile, kuid vallavolikogu saaks selliseid taristuobjekte arendada ainult siis kui vallal esineb vajadus.</w:t>
      </w:r>
    </w:p>
    <w:p w14:paraId="10DAF890" w14:textId="77777777" w:rsidR="00B6133B" w:rsidRPr="00904C24" w:rsidRDefault="00B6133B" w:rsidP="00B6133B">
      <w:pPr>
        <w:pStyle w:val="Kehatekst"/>
        <w:spacing w:before="160" w:line="259" w:lineRule="auto"/>
        <w:ind w:left="730" w:right="348"/>
        <w:rPr>
          <w:b/>
          <w:bCs/>
        </w:rPr>
      </w:pPr>
      <w:r w:rsidRPr="00904C24">
        <w:rPr>
          <w:b/>
          <w:bCs/>
        </w:rPr>
        <w:t xml:space="preserve">Tallinna Ringkonnakohus on otsuses n 3-21-810 p-s 39 selgitanud, et kohaliku omavalitsuse eriplaneeringu              lõpetamine on kaalutlusotsus, kus kohalik omavalitsus peab kaalutlusõigust teostama kooskõlas </w:t>
      </w:r>
      <w:proofErr w:type="spellStart"/>
      <w:r w:rsidRPr="00904C24">
        <w:rPr>
          <w:b/>
          <w:bCs/>
        </w:rPr>
        <w:t>PlanS</w:t>
      </w:r>
      <w:proofErr w:type="spellEnd"/>
      <w:r w:rsidRPr="00904C24">
        <w:rPr>
          <w:b/>
          <w:bCs/>
        </w:rPr>
        <w:t xml:space="preserve"> § 10 </w:t>
      </w:r>
      <w:proofErr w:type="spellStart"/>
      <w:r w:rsidRPr="00904C24">
        <w:rPr>
          <w:b/>
          <w:bCs/>
        </w:rPr>
        <w:t>lg-ga</w:t>
      </w:r>
      <w:proofErr w:type="spellEnd"/>
      <w:r w:rsidRPr="00904C24">
        <w:rPr>
          <w:b/>
          <w:bCs/>
        </w:rPr>
        <w:t xml:space="preserve"> 1.</w:t>
      </w:r>
    </w:p>
    <w:p w14:paraId="3B7E6D20" w14:textId="77777777" w:rsidR="00B6133B" w:rsidRPr="00904C24" w:rsidRDefault="00B6133B" w:rsidP="00B6133B">
      <w:pPr>
        <w:pStyle w:val="Kehatekst"/>
        <w:spacing w:before="160" w:line="259" w:lineRule="auto"/>
        <w:ind w:left="730" w:right="348"/>
        <w:rPr>
          <w:b/>
          <w:bCs/>
        </w:rPr>
      </w:pPr>
      <w:r w:rsidRPr="00904C24">
        <w:rPr>
          <w:b/>
          <w:bCs/>
        </w:rPr>
        <w:t xml:space="preserve">Käesolevaga kaalubki volikogu Põltsamaa valla ruumilise planeerimise põhimõtteid ja väärtusi ning teiselt    poolt arendaja huvi tuulepargi rajamise kaudu kasumit teenida. </w:t>
      </w:r>
    </w:p>
    <w:p w14:paraId="7C2D4308" w14:textId="77777777" w:rsidR="00B6133B" w:rsidRPr="00904C24" w:rsidRDefault="00B6133B" w:rsidP="00B6133B">
      <w:pPr>
        <w:pStyle w:val="Kehatekst"/>
        <w:spacing w:before="160" w:line="259" w:lineRule="auto"/>
        <w:ind w:left="730" w:right="348"/>
        <w:rPr>
          <w:b/>
          <w:bCs/>
        </w:rPr>
      </w:pPr>
      <w:r w:rsidRPr="00904C24">
        <w:rPr>
          <w:b/>
          <w:bCs/>
        </w:rPr>
        <w:t xml:space="preserve">Lähtudes kohtupraktikas väljendatud seisukohtadest on kohalikul omavalitsusel õigus otsustada lõpetada     KOVEP menetlus, sest esineb </w:t>
      </w:r>
      <w:proofErr w:type="spellStart"/>
      <w:r w:rsidRPr="00904C24">
        <w:rPr>
          <w:b/>
          <w:bCs/>
        </w:rPr>
        <w:t>PlanS</w:t>
      </w:r>
      <w:proofErr w:type="spellEnd"/>
      <w:r w:rsidRPr="00904C24">
        <w:rPr>
          <w:b/>
          <w:bCs/>
        </w:rPr>
        <w:t xml:space="preserve"> § 97 lg 1 p 1 nimetatud alus ja kohaliku omavalitsuse eriplaneeringu elluviimine tulevikus on välistatud.</w:t>
      </w:r>
    </w:p>
    <w:p w14:paraId="6F718503" w14:textId="77777777" w:rsidR="00B6133B" w:rsidRPr="00904C24" w:rsidRDefault="00B6133B" w:rsidP="00B6133B">
      <w:pPr>
        <w:pStyle w:val="Kehatekst"/>
        <w:spacing w:before="160" w:line="259" w:lineRule="auto"/>
        <w:ind w:left="730" w:right="348"/>
        <w:rPr>
          <w:b/>
          <w:bCs/>
        </w:rPr>
      </w:pPr>
      <w:proofErr w:type="spellStart"/>
      <w:r w:rsidRPr="00904C24">
        <w:rPr>
          <w:b/>
          <w:bCs/>
        </w:rPr>
        <w:t>PlanS</w:t>
      </w:r>
      <w:proofErr w:type="spellEnd"/>
      <w:r w:rsidRPr="00904C24">
        <w:rPr>
          <w:b/>
          <w:bCs/>
        </w:rPr>
        <w:t xml:space="preserve"> § 97 lg 1 ei anna ammendavat loetelu, millal on eriplaneeringu menetluse lõpetamine võimalik. </w:t>
      </w:r>
    </w:p>
    <w:p w14:paraId="7108AEB6" w14:textId="77777777" w:rsidR="00B6133B" w:rsidRPr="00904C24" w:rsidRDefault="00B6133B" w:rsidP="00B6133B">
      <w:pPr>
        <w:pStyle w:val="Kehatekst"/>
        <w:spacing w:before="160" w:line="259" w:lineRule="auto"/>
        <w:ind w:left="730" w:right="348"/>
        <w:rPr>
          <w:b/>
          <w:bCs/>
        </w:rPr>
      </w:pPr>
      <w:r w:rsidRPr="00904C24">
        <w:rPr>
          <w:b/>
          <w:bCs/>
        </w:rPr>
        <w:t xml:space="preserve">Sellele viitab juba seaduses kasutatud mõiste „eelkõige juhul, kui“. </w:t>
      </w:r>
    </w:p>
    <w:p w14:paraId="7523683C" w14:textId="77777777" w:rsidR="00B6133B" w:rsidRPr="00904C24" w:rsidRDefault="00B6133B" w:rsidP="00B6133B">
      <w:pPr>
        <w:pStyle w:val="Kehatekst"/>
        <w:spacing w:before="160" w:line="259" w:lineRule="auto"/>
        <w:ind w:left="730" w:right="348"/>
        <w:rPr>
          <w:b/>
          <w:bCs/>
        </w:rPr>
      </w:pPr>
      <w:r w:rsidRPr="00904C24">
        <w:rPr>
          <w:b/>
          <w:bCs/>
        </w:rPr>
        <w:t xml:space="preserve">See tähendab, et kohalik omavalitsus võib eriplaneeringu lõpetamisel lähtuda seaduses nimetatud alustest, kuid ka nendest alustest, mida sõnaselgelt ei ole loetletud. </w:t>
      </w:r>
    </w:p>
    <w:p w14:paraId="6A62CA31" w14:textId="77777777" w:rsidR="00B6133B" w:rsidRPr="00904C24" w:rsidRDefault="00B6133B" w:rsidP="00B6133B">
      <w:pPr>
        <w:pStyle w:val="Kehatekst"/>
        <w:spacing w:before="160" w:line="259" w:lineRule="auto"/>
        <w:ind w:left="730" w:right="348"/>
        <w:rPr>
          <w:b/>
          <w:bCs/>
        </w:rPr>
      </w:pPr>
      <w:r w:rsidRPr="00904C24">
        <w:rPr>
          <w:b/>
          <w:bCs/>
        </w:rPr>
        <w:t xml:space="preserve">Kohalik omavalitsus peab oma otsust asjakohaselt põhjendama ning lähtuma asjakohastest kaalutlustest. </w:t>
      </w:r>
    </w:p>
    <w:p w14:paraId="6AF3B881" w14:textId="77777777" w:rsidR="00B6133B" w:rsidRPr="00904C24" w:rsidRDefault="00B6133B" w:rsidP="00B6133B">
      <w:pPr>
        <w:pStyle w:val="Kehatekst"/>
        <w:spacing w:before="160" w:line="259" w:lineRule="auto"/>
        <w:ind w:left="730" w:right="348"/>
        <w:rPr>
          <w:b/>
          <w:bCs/>
        </w:rPr>
      </w:pPr>
      <w:r w:rsidRPr="00904C24">
        <w:rPr>
          <w:b/>
          <w:bCs/>
        </w:rPr>
        <w:t xml:space="preserve">Lisaks eelnevalt käsitletud vastuolule üldplaneeringuga on tuuleparkide rajamise KOVEP ja KSH menetluse lõpetamine põhjendatud ettevaatuspõhimõttest tulenevalt, kuna käesoleval ajal ei ole vallavolikogul piisavalt teavet. </w:t>
      </w:r>
    </w:p>
    <w:p w14:paraId="22FA0CA0" w14:textId="77777777" w:rsidR="00B6133B" w:rsidRPr="00904C24" w:rsidRDefault="00B6133B" w:rsidP="00B6133B">
      <w:pPr>
        <w:pStyle w:val="Kehatekst"/>
        <w:spacing w:before="160" w:line="259" w:lineRule="auto"/>
        <w:ind w:left="730" w:right="348"/>
        <w:rPr>
          <w:b/>
          <w:bCs/>
        </w:rPr>
      </w:pPr>
      <w:r w:rsidRPr="00904C24">
        <w:rPr>
          <w:b/>
          <w:bCs/>
        </w:rPr>
        <w:t xml:space="preserve">Tartu Halduskohus on otsuses nr 2-23-2655 selgitanud, et kohalik omavalitsus on õigustatud langetama otsustuse talle teadaoleva info põhjal ja võibki puuduliku teabe olukorras lähtuda ka </w:t>
      </w:r>
      <w:proofErr w:type="spellStart"/>
      <w:r w:rsidRPr="00904C24">
        <w:rPr>
          <w:b/>
          <w:bCs/>
        </w:rPr>
        <w:t>ettevaatuspõhimõtt</w:t>
      </w:r>
      <w:proofErr w:type="spellEnd"/>
      <w:r w:rsidRPr="00904C24">
        <w:rPr>
          <w:b/>
          <w:bCs/>
        </w:rPr>
        <w:t xml:space="preserve"> </w:t>
      </w:r>
      <w:proofErr w:type="spellStart"/>
      <w:r w:rsidRPr="00904C24">
        <w:rPr>
          <w:b/>
          <w:bCs/>
        </w:rPr>
        <w:t>est</w:t>
      </w:r>
      <w:proofErr w:type="spellEnd"/>
      <w:r w:rsidRPr="00904C24">
        <w:rPr>
          <w:b/>
          <w:bCs/>
        </w:rPr>
        <w:t>.</w:t>
      </w:r>
    </w:p>
    <w:p w14:paraId="6DC30EFE" w14:textId="77777777" w:rsidR="00B6133B" w:rsidRPr="00904C24" w:rsidRDefault="00B6133B" w:rsidP="00B6133B">
      <w:pPr>
        <w:pStyle w:val="Kehatekst"/>
        <w:spacing w:before="160" w:line="259" w:lineRule="auto"/>
        <w:ind w:left="730" w:right="348"/>
        <w:rPr>
          <w:b/>
          <w:bCs/>
        </w:rPr>
      </w:pPr>
      <w:r w:rsidRPr="00904C24">
        <w:rPr>
          <w:b/>
          <w:bCs/>
        </w:rPr>
        <w:lastRenderedPageBreak/>
        <w:t xml:space="preserve">Põltsamaa eriplaneeringu lõpetamine ei ole käsitletav arendaja ettevõtlusvabaduse piiramisena. </w:t>
      </w:r>
    </w:p>
    <w:p w14:paraId="6F23214E" w14:textId="77777777" w:rsidR="00B6133B" w:rsidRPr="00904C24" w:rsidRDefault="00B6133B" w:rsidP="00B6133B">
      <w:pPr>
        <w:pStyle w:val="Kehatekst"/>
        <w:spacing w:before="160" w:line="259" w:lineRule="auto"/>
        <w:ind w:left="730" w:right="348"/>
        <w:rPr>
          <w:b/>
          <w:bCs/>
        </w:rPr>
      </w:pPr>
      <w:r w:rsidRPr="00904C24">
        <w:rPr>
          <w:b/>
          <w:bCs/>
        </w:rPr>
        <w:t xml:space="preserve">Kuigi isikul on põhiõigus tegutseda ettevõtlusega, siis ei ole ükski põhiõigus piiramatu ning oma õigusi saab realiseerida kooskõlas teiste piirangutega. </w:t>
      </w:r>
    </w:p>
    <w:p w14:paraId="31C19111" w14:textId="77777777" w:rsidR="00B6133B" w:rsidRPr="00904C24" w:rsidRDefault="00B6133B" w:rsidP="00B6133B">
      <w:pPr>
        <w:pStyle w:val="Kehatekst"/>
        <w:spacing w:before="160" w:line="259" w:lineRule="auto"/>
        <w:ind w:left="730" w:right="348"/>
        <w:rPr>
          <w:b/>
          <w:bCs/>
        </w:rPr>
      </w:pPr>
      <w:r w:rsidRPr="00904C24">
        <w:rPr>
          <w:b/>
          <w:bCs/>
        </w:rPr>
        <w:t>Põltsamaa üldplaneering seab selged piirangud olulise ruumilise mõjuga ehitiste rajamisele, mistõttu saab ettevõtlusega tegeleda viisil, mis on kooskõlas Põltsamaa valla üldplaneeringuga.</w:t>
      </w:r>
    </w:p>
    <w:p w14:paraId="69E70A05" w14:textId="77777777" w:rsidR="00B6133B" w:rsidRPr="00904C24" w:rsidRDefault="00B6133B" w:rsidP="00B6133B">
      <w:pPr>
        <w:pStyle w:val="Kehatekst"/>
        <w:spacing w:before="160" w:line="259" w:lineRule="auto"/>
        <w:ind w:left="730" w:right="348"/>
        <w:rPr>
          <w:b/>
          <w:bCs/>
        </w:rPr>
      </w:pPr>
      <w:r w:rsidRPr="00904C24">
        <w:rPr>
          <w:b/>
          <w:bCs/>
        </w:rPr>
        <w:t xml:space="preserve">Tuleb ka rõhutada, et käesoleva eriplaneeringu lõpetamine ei ole vastuolus riiklike eesmärkidega, vaid lähtub kohalikul tasandil hinnatud ja kaalutud kõrgendatud avalikust huvist tagada kogukondlikult tasakaalustatud, looduskeskkonda hoidev ja esteetiliselt väärtuslik eluruum. </w:t>
      </w:r>
    </w:p>
    <w:p w14:paraId="5F7861A4" w14:textId="77777777" w:rsidR="00B6133B" w:rsidRPr="00904C24" w:rsidRDefault="00B6133B" w:rsidP="00B6133B">
      <w:pPr>
        <w:pStyle w:val="Kehatekst"/>
        <w:spacing w:before="160" w:line="259" w:lineRule="auto"/>
        <w:ind w:left="730" w:right="348"/>
        <w:rPr>
          <w:b/>
          <w:bCs/>
        </w:rPr>
      </w:pPr>
      <w:r w:rsidRPr="00904C24">
        <w:rPr>
          <w:b/>
          <w:bCs/>
        </w:rPr>
        <w:t>Põltsamaa valla panus taastuvenergia eesmärkidesse võib olla võimalik teiste lahenduste kaudu, mis sobituvad paremini üldplaneeringu, elukeskkonna ja looduskaitseliste tingimustega.</w:t>
      </w:r>
    </w:p>
    <w:p w14:paraId="2846CC23" w14:textId="77777777" w:rsidR="00B6133B" w:rsidRPr="00904C24" w:rsidRDefault="00B6133B" w:rsidP="00B6133B">
      <w:pPr>
        <w:pStyle w:val="Kehatekst"/>
        <w:spacing w:before="160" w:line="259" w:lineRule="auto"/>
        <w:ind w:left="730" w:right="348"/>
        <w:rPr>
          <w:b/>
          <w:bCs/>
        </w:rPr>
      </w:pPr>
      <w:r w:rsidRPr="00904C24">
        <w:rPr>
          <w:b/>
          <w:bCs/>
        </w:rPr>
        <w:t>Põltsamaa tuuleparkide arenduse tulemusel saaksid 18 kohalikku kaitseala pöördumatult kahjustatud – elupaigad hävivad, liigirikkus väheneb ja rohevõrgustik katkeb.</w:t>
      </w:r>
    </w:p>
    <w:p w14:paraId="3F122259" w14:textId="77777777" w:rsidR="00B6133B" w:rsidRPr="00904C24" w:rsidRDefault="00B6133B" w:rsidP="00B6133B">
      <w:pPr>
        <w:pStyle w:val="Kehatekst"/>
        <w:spacing w:before="160" w:line="259" w:lineRule="auto"/>
        <w:ind w:left="730" w:right="348"/>
        <w:rPr>
          <w:b/>
          <w:bCs/>
        </w:rPr>
      </w:pPr>
      <w:r w:rsidRPr="00904C24">
        <w:rPr>
          <w:b/>
          <w:bCs/>
        </w:rPr>
        <w:t xml:space="preserve">Põltsamaa Vallavolikogu 30.12.2021 otsuse kohaselt 270-meetrised tuulikud vajavad massiivseid aluseid ja ulatuslikke juurdepääsuteid, mis toovad kaasa metsade raadamise ja rohevõrgustike hävimise, eri Põltsamaa väärtuslikel loodus- ja karstialadel. </w:t>
      </w:r>
    </w:p>
    <w:p w14:paraId="35BC7CAF" w14:textId="77777777" w:rsidR="00B6133B" w:rsidRPr="00904C24" w:rsidRDefault="00B6133B" w:rsidP="00B6133B">
      <w:pPr>
        <w:pStyle w:val="Kehatekst"/>
        <w:spacing w:before="160" w:line="259" w:lineRule="auto"/>
        <w:ind w:left="730" w:right="348"/>
        <w:rPr>
          <w:b/>
          <w:bCs/>
        </w:rPr>
      </w:pPr>
      <w:r w:rsidRPr="00904C24">
        <w:rPr>
          <w:b/>
          <w:bCs/>
        </w:rPr>
        <w:t>Kui KOVEP ja KSH menetlus lõpetatakse, siis ei teki looduskeskkonnale pöördumatut kahju, mis on omakorda kooskõlas taastuvenergia direktiivi artikliga 15c.</w:t>
      </w:r>
    </w:p>
    <w:p w14:paraId="1B0822F0" w14:textId="77777777" w:rsidR="00B6133B" w:rsidRPr="003F4F90" w:rsidRDefault="00B6133B" w:rsidP="00B6133B">
      <w:pPr>
        <w:pStyle w:val="Kehatekst"/>
        <w:spacing w:before="160" w:line="259" w:lineRule="auto"/>
        <w:ind w:right="348"/>
        <w:rPr>
          <w:color w:val="EE0000"/>
        </w:rPr>
        <w:sectPr w:rsidR="00B6133B" w:rsidRPr="003F4F90" w:rsidSect="00B6133B">
          <w:pgSz w:w="11910" w:h="16840"/>
          <w:pgMar w:top="1420" w:right="566" w:bottom="280" w:left="708" w:header="708" w:footer="708" w:gutter="0"/>
          <w:cols w:space="708"/>
        </w:sectPr>
      </w:pPr>
      <w:r>
        <w:rPr>
          <w:color w:val="EE0000"/>
        </w:rPr>
        <w:t xml:space="preserve">    </w:t>
      </w:r>
    </w:p>
    <w:p w14:paraId="5DDD4474" w14:textId="2231111A" w:rsidR="00B6133B" w:rsidRPr="00B6133B" w:rsidRDefault="00B6133B" w:rsidP="00B6133B">
      <w:pPr>
        <w:pStyle w:val="Standarduser"/>
        <w:rPr>
          <w:rFonts w:ascii="Calibri" w:hAnsi="Calibri" w:cs="Calibri"/>
          <w:sz w:val="22"/>
          <w:szCs w:val="22"/>
        </w:rPr>
      </w:pPr>
    </w:p>
    <w:p w14:paraId="648AAD6D" w14:textId="77777777" w:rsidR="00B6133B" w:rsidRPr="00B6133B" w:rsidRDefault="00B6133B" w:rsidP="00B6133B">
      <w:pPr>
        <w:pStyle w:val="Standarduser"/>
        <w:rPr>
          <w:rFonts w:ascii="Calibri" w:hAnsi="Calibri" w:cs="Calibri"/>
          <w:sz w:val="22"/>
          <w:szCs w:val="22"/>
        </w:rPr>
      </w:pPr>
    </w:p>
    <w:p w14:paraId="30A852B6" w14:textId="77777777" w:rsidR="00B6133B" w:rsidRDefault="00B6133B" w:rsidP="00B6133B">
      <w:pPr>
        <w:pStyle w:val="Standarduser"/>
        <w:rPr>
          <w:rFonts w:ascii="Calibri" w:hAnsi="Calibri" w:cs="Calibri"/>
          <w:b/>
          <w:bCs/>
          <w:sz w:val="22"/>
          <w:szCs w:val="22"/>
        </w:rPr>
      </w:pPr>
    </w:p>
    <w:p w14:paraId="4AB20DC9" w14:textId="00E75747" w:rsidR="00B6133B" w:rsidRPr="00B6133B" w:rsidRDefault="00B6133B" w:rsidP="00B6133B">
      <w:pPr>
        <w:rPr>
          <w:b/>
          <w:bCs/>
        </w:rPr>
      </w:pPr>
      <w:r w:rsidRPr="000C23FD">
        <w:t xml:space="preserve">             </w:t>
      </w:r>
    </w:p>
    <w:p w14:paraId="3B2A7638" w14:textId="6E1769DE" w:rsidR="00B6133B" w:rsidRPr="00B6133B" w:rsidRDefault="00B6133B" w:rsidP="00B6133B">
      <w:pPr>
        <w:pStyle w:val="Kehatekst"/>
        <w:spacing w:before="160" w:line="259" w:lineRule="auto"/>
        <w:ind w:left="730" w:right="348"/>
        <w:rPr>
          <w:b/>
          <w:bCs/>
        </w:rPr>
      </w:pPr>
    </w:p>
    <w:p w14:paraId="6706222D" w14:textId="77777777" w:rsidR="00B6133B" w:rsidRPr="00B6133B" w:rsidRDefault="00B6133B" w:rsidP="00B6133B">
      <w:pPr>
        <w:pStyle w:val="Kehatekst"/>
        <w:spacing w:before="160" w:line="259" w:lineRule="auto"/>
        <w:ind w:right="348"/>
        <w:rPr>
          <w:b/>
          <w:bCs/>
          <w:color w:val="EE0000"/>
        </w:rPr>
        <w:sectPr w:rsidR="00B6133B" w:rsidRPr="00B6133B" w:rsidSect="00B6133B">
          <w:pgSz w:w="11910" w:h="16840"/>
          <w:pgMar w:top="1420" w:right="566" w:bottom="280" w:left="708" w:header="708" w:footer="708" w:gutter="0"/>
          <w:cols w:space="708"/>
        </w:sectPr>
      </w:pPr>
      <w:r w:rsidRPr="00B6133B">
        <w:rPr>
          <w:b/>
          <w:bCs/>
          <w:color w:val="EE0000"/>
        </w:rPr>
        <w:t xml:space="preserve">    </w:t>
      </w:r>
    </w:p>
    <w:p w14:paraId="6CE2FA8A" w14:textId="77777777" w:rsidR="00B6133B" w:rsidRDefault="00B6133B" w:rsidP="00B6133B">
      <w:pPr>
        <w:pStyle w:val="Standarduser"/>
        <w:rPr>
          <w:rFonts w:ascii="Calibri" w:hAnsi="Calibri" w:cs="Calibri"/>
          <w:b/>
          <w:bCs/>
          <w:sz w:val="22"/>
          <w:szCs w:val="22"/>
        </w:rPr>
      </w:pPr>
    </w:p>
    <w:p w14:paraId="0BECA0B0" w14:textId="77777777" w:rsidR="00B6133B" w:rsidRDefault="00B6133B" w:rsidP="00B6133B">
      <w:pPr>
        <w:pStyle w:val="Standarduser"/>
        <w:rPr>
          <w:rFonts w:ascii="Calibri" w:hAnsi="Calibri" w:cs="Calibri"/>
          <w:b/>
          <w:bCs/>
          <w:sz w:val="22"/>
          <w:szCs w:val="22"/>
        </w:rPr>
      </w:pPr>
    </w:p>
    <w:p w14:paraId="5735BF51" w14:textId="77777777" w:rsidR="00D435A8" w:rsidRDefault="00D435A8"/>
    <w:sectPr w:rsidR="00D43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3B"/>
    <w:rsid w:val="00361973"/>
    <w:rsid w:val="00904C24"/>
    <w:rsid w:val="00B6133B"/>
    <w:rsid w:val="00D435A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560E"/>
  <w15:chartTrackingRefBased/>
  <w15:docId w15:val="{87B5FA0A-3A1F-4FC5-9787-6CD0F51C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6133B"/>
    <w:pPr>
      <w:widowControl w:val="0"/>
      <w:spacing w:after="0" w:line="240" w:lineRule="auto"/>
    </w:pPr>
    <w:rPr>
      <w:rFonts w:ascii="Calibri" w:eastAsia="Calibri" w:hAnsi="Calibri" w:cs="Calibri"/>
      <w:kern w:val="0"/>
      <w14:ligatures w14:val="none"/>
    </w:rPr>
  </w:style>
  <w:style w:type="paragraph" w:styleId="Pealkiri1">
    <w:name w:val="heading 1"/>
    <w:basedOn w:val="Normaallaad"/>
    <w:next w:val="Normaallaad"/>
    <w:link w:val="Pealkiri1Mrk"/>
    <w:uiPriority w:val="9"/>
    <w:qFormat/>
    <w:rsid w:val="00B6133B"/>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B6133B"/>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B6133B"/>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B6133B"/>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B6133B"/>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B6133B"/>
    <w:pPr>
      <w:keepNext/>
      <w:keepLines/>
      <w:widowControl/>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B6133B"/>
    <w:pPr>
      <w:keepNext/>
      <w:keepLines/>
      <w:widowControl/>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B6133B"/>
    <w:pPr>
      <w:keepNext/>
      <w:keepLines/>
      <w:widowControl/>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B6133B"/>
    <w:pPr>
      <w:keepNext/>
      <w:keepLines/>
      <w:widowControl/>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6133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6133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6133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6133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6133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6133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6133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6133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6133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6133B"/>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B6133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6133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B6133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6133B"/>
    <w:pPr>
      <w:widowControl/>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TsitaatMrk">
    <w:name w:val="Tsitaat Märk"/>
    <w:basedOn w:val="Liguvaikefont"/>
    <w:link w:val="Tsitaat"/>
    <w:uiPriority w:val="29"/>
    <w:rsid w:val="00B6133B"/>
    <w:rPr>
      <w:i/>
      <w:iCs/>
      <w:color w:val="404040" w:themeColor="text1" w:themeTint="BF"/>
    </w:rPr>
  </w:style>
  <w:style w:type="paragraph" w:styleId="Loendilik">
    <w:name w:val="List Paragraph"/>
    <w:basedOn w:val="Normaallaad"/>
    <w:uiPriority w:val="34"/>
    <w:qFormat/>
    <w:rsid w:val="00B6133B"/>
    <w:pPr>
      <w:widowControl/>
      <w:spacing w:after="160" w:line="259" w:lineRule="auto"/>
      <w:ind w:left="720"/>
      <w:contextualSpacing/>
    </w:pPr>
    <w:rPr>
      <w:rFonts w:asciiTheme="minorHAnsi" w:eastAsiaTheme="minorHAnsi" w:hAnsiTheme="minorHAnsi" w:cstheme="minorBidi"/>
      <w:kern w:val="2"/>
      <w14:ligatures w14:val="standardContextual"/>
    </w:rPr>
  </w:style>
  <w:style w:type="character" w:styleId="Selgeltmrgatavrhutus">
    <w:name w:val="Intense Emphasis"/>
    <w:basedOn w:val="Liguvaikefont"/>
    <w:uiPriority w:val="21"/>
    <w:qFormat/>
    <w:rsid w:val="00B6133B"/>
    <w:rPr>
      <w:i/>
      <w:iCs/>
      <w:color w:val="0F4761" w:themeColor="accent1" w:themeShade="BF"/>
    </w:rPr>
  </w:style>
  <w:style w:type="paragraph" w:styleId="Selgeltmrgatavtsitaat">
    <w:name w:val="Intense Quote"/>
    <w:basedOn w:val="Normaallaad"/>
    <w:next w:val="Normaallaad"/>
    <w:link w:val="SelgeltmrgatavtsitaatMrk"/>
    <w:uiPriority w:val="30"/>
    <w:qFormat/>
    <w:rsid w:val="00B6133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B6133B"/>
    <w:rPr>
      <w:i/>
      <w:iCs/>
      <w:color w:val="0F4761" w:themeColor="accent1" w:themeShade="BF"/>
    </w:rPr>
  </w:style>
  <w:style w:type="character" w:styleId="Selgeltmrgatavviide">
    <w:name w:val="Intense Reference"/>
    <w:basedOn w:val="Liguvaikefont"/>
    <w:uiPriority w:val="32"/>
    <w:qFormat/>
    <w:rsid w:val="00B6133B"/>
    <w:rPr>
      <w:b/>
      <w:bCs/>
      <w:smallCaps/>
      <w:color w:val="0F4761" w:themeColor="accent1" w:themeShade="BF"/>
      <w:spacing w:val="5"/>
    </w:rPr>
  </w:style>
  <w:style w:type="paragraph" w:customStyle="1" w:styleId="Standarduser">
    <w:name w:val="Standard (user)"/>
    <w:rsid w:val="00B6133B"/>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Kehatekst">
    <w:name w:val="Body Text"/>
    <w:basedOn w:val="Normaallaad"/>
    <w:link w:val="KehatekstMrk"/>
    <w:uiPriority w:val="1"/>
    <w:qFormat/>
    <w:rsid w:val="00B6133B"/>
  </w:style>
  <w:style w:type="character" w:customStyle="1" w:styleId="KehatekstMrk">
    <w:name w:val="Kehatekst Märk"/>
    <w:basedOn w:val="Liguvaikefont"/>
    <w:link w:val="Kehatekst"/>
    <w:uiPriority w:val="1"/>
    <w:rsid w:val="00B6133B"/>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723</Words>
  <Characters>4199</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Veljo Sarapuu</dc:creator>
  <cp:keywords/>
  <dc:description/>
  <cp:lastModifiedBy>Veljo Sarapuu</cp:lastModifiedBy>
  <cp:revision>1</cp:revision>
  <dcterms:created xsi:type="dcterms:W3CDTF">2025-06-28T16:39:00Z</dcterms:created>
  <dcterms:modified xsi:type="dcterms:W3CDTF">2025-06-28T16:50:00Z</dcterms:modified>
</cp:coreProperties>
</file>